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5E0C" w14:textId="77777777" w:rsidR="002C22BF" w:rsidRDefault="002C22BF" w:rsidP="002C22BF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Abel" w:eastAsia="Times New Roman" w:hAnsi="Abel" w:cstheme="minorHAnsi"/>
          <w:b/>
          <w:bCs/>
          <w:sz w:val="34"/>
          <w:szCs w:val="34"/>
          <w:lang w:eastAsia="es-ES"/>
        </w:rPr>
      </w:pPr>
      <w:r w:rsidRPr="002C22BF">
        <w:rPr>
          <w:rFonts w:ascii="Abel" w:eastAsia="Times New Roman" w:hAnsi="Abel" w:cstheme="minorHAnsi"/>
          <w:b/>
          <w:bCs/>
          <w:sz w:val="34"/>
          <w:szCs w:val="34"/>
          <w:lang w:eastAsia="es-ES"/>
        </w:rPr>
        <w:t>Los EDIH españoles consolidan su liderazgo en innovación con apoyo europeo y foco en inteligencia artificial</w:t>
      </w:r>
    </w:p>
    <w:p w14:paraId="37851850" w14:textId="54BD48B1" w:rsidR="00EA3582" w:rsidRPr="00EA3582" w:rsidRDefault="002C22BF" w:rsidP="002C22BF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</w:pPr>
      <w:r w:rsidRPr="002C22BF"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  <w:t xml:space="preserve">La Comisión Europea refuerza la red nacional de EDIH con </w:t>
      </w:r>
      <w:r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  <w:t xml:space="preserve">19 </w:t>
      </w:r>
      <w:r w:rsidRPr="002C22BF"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  <w:t xml:space="preserve">millones de euros y 17 sellos Step </w:t>
      </w:r>
      <w:proofErr w:type="spellStart"/>
      <w:r w:rsidRPr="002C22BF"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  <w:t>Seal</w:t>
      </w:r>
      <w:proofErr w:type="spellEnd"/>
      <w:r>
        <w:rPr>
          <w:rFonts w:ascii="Abel" w:eastAsia="Times New Roman" w:hAnsi="Abel" w:cstheme="minorHAnsi"/>
          <w:i/>
          <w:iCs/>
          <w:sz w:val="28"/>
          <w:szCs w:val="28"/>
          <w:lang w:eastAsia="es-ES"/>
        </w:rPr>
        <w:t xml:space="preserve"> para Digitalización, IA y tecnologías duales</w:t>
      </w:r>
    </w:p>
    <w:p w14:paraId="080D9FCE" w14:textId="2FA3447C" w:rsidR="002C22BF" w:rsidRDefault="002C22BF" w:rsidP="009A5F83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La Comisión Europea ha reafirmado su compromiso con la digitalización y la innovación tecnológica en España, destinando 19 millones de euros a 10 </w:t>
      </w:r>
      <w:proofErr w:type="spellStart"/>
      <w:r w:rsidRPr="002C22BF">
        <w:rPr>
          <w:rFonts w:ascii="Abel" w:hAnsi="Abel" w:cstheme="minorHAnsi"/>
        </w:rPr>
        <w:t>European</w:t>
      </w:r>
      <w:proofErr w:type="spellEnd"/>
      <w:r w:rsidRPr="002C22BF">
        <w:rPr>
          <w:rFonts w:ascii="Abel" w:hAnsi="Abel" w:cstheme="minorHAnsi"/>
        </w:rPr>
        <w:t xml:space="preserve"> Digital Innovation Hubs (EDIH) para el periodo 2026-2028 y concediendo el sello Step</w:t>
      </w:r>
      <w:r w:rsidR="00435903">
        <w:rPr>
          <w:rFonts w:ascii="Abel" w:hAnsi="Abel" w:cstheme="minorHAnsi"/>
        </w:rPr>
        <w:t xml:space="preserve"> (</w:t>
      </w:r>
      <w:proofErr w:type="spellStart"/>
      <w:r w:rsidR="00435903" w:rsidRPr="00435903">
        <w:rPr>
          <w:rFonts w:ascii="Abel" w:hAnsi="Abel" w:cstheme="minorHAnsi"/>
        </w:rPr>
        <w:t>Strategic</w:t>
      </w:r>
      <w:proofErr w:type="spellEnd"/>
      <w:r w:rsidR="00435903" w:rsidRPr="00435903">
        <w:rPr>
          <w:rFonts w:ascii="Abel" w:hAnsi="Abel" w:cstheme="minorHAnsi"/>
        </w:rPr>
        <w:t xml:space="preserve"> Technologies </w:t>
      </w:r>
      <w:proofErr w:type="spellStart"/>
      <w:r w:rsidR="00435903" w:rsidRPr="00435903">
        <w:rPr>
          <w:rFonts w:ascii="Abel" w:hAnsi="Abel" w:cstheme="minorHAnsi"/>
        </w:rPr>
        <w:t>for</w:t>
      </w:r>
      <w:proofErr w:type="spellEnd"/>
      <w:r w:rsidR="00435903" w:rsidRPr="00435903">
        <w:rPr>
          <w:rFonts w:ascii="Abel" w:hAnsi="Abel" w:cstheme="minorHAnsi"/>
        </w:rPr>
        <w:t xml:space="preserve"> </w:t>
      </w:r>
      <w:proofErr w:type="spellStart"/>
      <w:r w:rsidR="00435903" w:rsidRPr="00435903">
        <w:rPr>
          <w:rFonts w:ascii="Abel" w:hAnsi="Abel" w:cstheme="minorHAnsi"/>
        </w:rPr>
        <w:t>Europe</w:t>
      </w:r>
      <w:proofErr w:type="spellEnd"/>
      <w:r w:rsidR="00435903" w:rsidRPr="00435903">
        <w:rPr>
          <w:rFonts w:ascii="Abel" w:hAnsi="Abel" w:cstheme="minorHAnsi"/>
        </w:rPr>
        <w:t xml:space="preserve"> </w:t>
      </w:r>
      <w:proofErr w:type="spellStart"/>
      <w:r w:rsidR="00435903" w:rsidRPr="00435903">
        <w:rPr>
          <w:rFonts w:ascii="Abel" w:hAnsi="Abel" w:cstheme="minorHAnsi"/>
        </w:rPr>
        <w:t>Platform</w:t>
      </w:r>
      <w:proofErr w:type="spellEnd"/>
      <w:r w:rsidR="00435903">
        <w:rPr>
          <w:rFonts w:ascii="Abel" w:hAnsi="Abel" w:cstheme="minorHAnsi"/>
        </w:rPr>
        <w:t>)</w:t>
      </w:r>
      <w:r w:rsidRPr="002C22BF">
        <w:rPr>
          <w:rFonts w:ascii="Abel" w:hAnsi="Abel" w:cstheme="minorHAnsi"/>
        </w:rPr>
        <w:t xml:space="preserve"> </w:t>
      </w:r>
      <w:proofErr w:type="spellStart"/>
      <w:r w:rsidRPr="002C22BF">
        <w:rPr>
          <w:rFonts w:ascii="Abel" w:hAnsi="Abel" w:cstheme="minorHAnsi"/>
        </w:rPr>
        <w:t>Seal</w:t>
      </w:r>
      <w:proofErr w:type="spellEnd"/>
      <w:r w:rsidRPr="002C22BF">
        <w:rPr>
          <w:rFonts w:ascii="Abel" w:hAnsi="Abel" w:cstheme="minorHAnsi"/>
        </w:rPr>
        <w:t xml:space="preserve"> a 17 entidades. Este respaldo no solo avala la calidad y madurez de la red nacional de EDIH, sino que también abre la puerta a proyectos estratégicos en tecnologías avanzadas, soluciones duales y aplicaciones de inteligencia artificial.</w:t>
      </w:r>
    </w:p>
    <w:p w14:paraId="2943827B" w14:textId="77777777" w:rsidR="002C22BF" w:rsidRP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El análisis más reciente confirma la solidez y relevancia de la red española de EDIH en el marco europeo. En total, diez </w:t>
      </w:r>
      <w:proofErr w:type="spellStart"/>
      <w:r w:rsidRPr="002C22BF">
        <w:rPr>
          <w:rFonts w:ascii="Abel" w:hAnsi="Abel" w:cstheme="minorHAnsi"/>
        </w:rPr>
        <w:t>hubs</w:t>
      </w:r>
      <w:proofErr w:type="spellEnd"/>
      <w:r w:rsidRPr="002C22BF">
        <w:rPr>
          <w:rFonts w:ascii="Abel" w:hAnsi="Abel" w:cstheme="minorHAnsi"/>
        </w:rPr>
        <w:t xml:space="preserve"> han accedido a financiación directa para los próximos tres años, con presupuestos que oscilan entre los 1,9 y los 5,9 millones de euros, alcanzando un total acumulado de 19.051.354,96 €. Entre los seleccionados destacan DIH4CAT, AIR-</w:t>
      </w:r>
      <w:proofErr w:type="spellStart"/>
      <w:r w:rsidRPr="002C22BF">
        <w:rPr>
          <w:rFonts w:ascii="Abel" w:hAnsi="Abel" w:cstheme="minorHAnsi"/>
        </w:rPr>
        <w:t>Andalusia</w:t>
      </w:r>
      <w:proofErr w:type="spellEnd"/>
      <w:r w:rsidRPr="002C22BF">
        <w:rPr>
          <w:rFonts w:ascii="Abel" w:hAnsi="Abel" w:cstheme="minorHAnsi"/>
        </w:rPr>
        <w:t xml:space="preserve">, Aragón EDIH, </w:t>
      </w:r>
      <w:proofErr w:type="spellStart"/>
      <w:r w:rsidRPr="002C22BF">
        <w:rPr>
          <w:rFonts w:ascii="Abel" w:hAnsi="Abel" w:cstheme="minorHAnsi"/>
        </w:rPr>
        <w:t>AsDIH</w:t>
      </w:r>
      <w:proofErr w:type="spellEnd"/>
      <w:r w:rsidRPr="002C22BF">
        <w:rPr>
          <w:rFonts w:ascii="Abel" w:hAnsi="Abel" w:cstheme="minorHAnsi"/>
        </w:rPr>
        <w:t xml:space="preserve">, CIDIHUB, DIGIS3, EDIH Madrid </w:t>
      </w:r>
      <w:proofErr w:type="spellStart"/>
      <w:r w:rsidRPr="002C22BF">
        <w:rPr>
          <w:rFonts w:ascii="Abel" w:hAnsi="Abel" w:cstheme="minorHAnsi"/>
        </w:rPr>
        <w:t>Region</w:t>
      </w:r>
      <w:proofErr w:type="spellEnd"/>
      <w:r w:rsidRPr="002C22BF">
        <w:rPr>
          <w:rFonts w:ascii="Abel" w:hAnsi="Abel" w:cstheme="minorHAnsi"/>
        </w:rPr>
        <w:t xml:space="preserve">, i4CAMHUB, INFAB HUB e </w:t>
      </w:r>
      <w:proofErr w:type="spellStart"/>
      <w:r w:rsidRPr="002C22BF">
        <w:rPr>
          <w:rFonts w:ascii="Abel" w:hAnsi="Abel" w:cstheme="minorHAnsi"/>
        </w:rPr>
        <w:t>InnDIH</w:t>
      </w:r>
      <w:proofErr w:type="spellEnd"/>
      <w:r w:rsidRPr="002C22BF">
        <w:rPr>
          <w:rFonts w:ascii="Abel" w:hAnsi="Abel" w:cstheme="minorHAnsi"/>
        </w:rPr>
        <w:t>.</w:t>
      </w:r>
    </w:p>
    <w:p w14:paraId="545749CB" w14:textId="77777777" w:rsidR="002C22BF" w:rsidRP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Paralelamente, 17 entidades han recibido el Step </w:t>
      </w:r>
      <w:proofErr w:type="spellStart"/>
      <w:r w:rsidRPr="002C22BF">
        <w:rPr>
          <w:rFonts w:ascii="Abel" w:hAnsi="Abel" w:cstheme="minorHAnsi"/>
        </w:rPr>
        <w:t>Seal</w:t>
      </w:r>
      <w:proofErr w:type="spellEnd"/>
      <w:r w:rsidRPr="002C22BF">
        <w:rPr>
          <w:rFonts w:ascii="Abel" w:hAnsi="Abel" w:cstheme="minorHAnsi"/>
        </w:rPr>
        <w:t xml:space="preserve">, un reconocimiento oficial de la Comisión Europea que certifica la calidad de su propuesta de valor, su solidez organizativa y su alineamiento con los objetivos estratégicos de la UE en materia de transformación digital. Este distintivo fortalece la capacidad de los </w:t>
      </w:r>
      <w:proofErr w:type="spellStart"/>
      <w:r w:rsidRPr="002C22BF">
        <w:rPr>
          <w:rFonts w:ascii="Abel" w:hAnsi="Abel" w:cstheme="minorHAnsi"/>
        </w:rPr>
        <w:t>hubs</w:t>
      </w:r>
      <w:proofErr w:type="spellEnd"/>
      <w:r w:rsidRPr="002C22BF">
        <w:rPr>
          <w:rFonts w:ascii="Abel" w:hAnsi="Abel" w:cstheme="minorHAnsi"/>
        </w:rPr>
        <w:t xml:space="preserve"> para atraer financiación adicional, establecer alianzas internacionales y liderar iniciativas en campos clave como la inteligencia artificial, la ciberseguridad, la industria 4.0 o la digitalización de las pymes.</w:t>
      </w:r>
    </w:p>
    <w:p w14:paraId="4EBD765A" w14:textId="058C996B" w:rsid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>El doble apoyo —financiación y acreditación— refleja un ecosistema en clara expansión, con un elevado grado de profesionalización y con un papel clave en la implementación de soluciones tecnológicas avanzadas en España y Europa.</w:t>
      </w:r>
    </w:p>
    <w:p w14:paraId="16767E05" w14:textId="63F1BB92" w:rsid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“Este respaldo de la Comisión Europea no solo supone un reconocimiento a la excelencia de los EDIH españoles, sino que refuerza nuestra capacidad para llevar la inteligencia artificial y las tecnologías avanzadas al tejido empresarial, especialmente a pymes e instituciones públicas. Estamos ante una oportunidad histórica para consolidar un ecosistema digital competitivo, innovador y plenamente alineado con los objetivos estratégicos de Europa”, </w:t>
      </w:r>
      <w:r>
        <w:rPr>
          <w:rFonts w:ascii="Abel" w:hAnsi="Abel" w:cstheme="minorHAnsi"/>
        </w:rPr>
        <w:t>según declaraciones de representantes de la red nacional de EDIH</w:t>
      </w:r>
      <w:r w:rsidRPr="002C22BF">
        <w:rPr>
          <w:rFonts w:ascii="Abel" w:hAnsi="Abel" w:cstheme="minorHAnsi"/>
        </w:rPr>
        <w:t>.</w:t>
      </w:r>
    </w:p>
    <w:p w14:paraId="4AE23562" w14:textId="66A7B10C" w:rsidR="002C22BF" w:rsidRP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Los </w:t>
      </w:r>
      <w:proofErr w:type="spellStart"/>
      <w:r w:rsidRPr="002C22BF">
        <w:rPr>
          <w:rFonts w:ascii="Abel" w:hAnsi="Abel" w:cstheme="minorHAnsi"/>
        </w:rPr>
        <w:t>European</w:t>
      </w:r>
      <w:proofErr w:type="spellEnd"/>
      <w:r w:rsidRPr="002C22BF">
        <w:rPr>
          <w:rFonts w:ascii="Abel" w:hAnsi="Abel" w:cstheme="minorHAnsi"/>
        </w:rPr>
        <w:t xml:space="preserve"> Digital Innovation Hubs (EDIH) forman parte de la estrategia de la Comisión Europea para impulsar la digitalización en los Estados miembros, con especial atención a pymes e instituciones públicas. Los EDIH actúan como ventanillas únicas para acelerar la adopción de tecnologías avanzadas, ofreciendo servicios de experimentación, capacitación y acceso a financiación.</w:t>
      </w:r>
      <w:r>
        <w:rPr>
          <w:rFonts w:ascii="Abel" w:hAnsi="Abel" w:cstheme="minorHAnsi"/>
        </w:rPr>
        <w:t xml:space="preserve"> </w:t>
      </w:r>
    </w:p>
    <w:p w14:paraId="0DD3BC8E" w14:textId="6326DF6B" w:rsidR="002C22BF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lastRenderedPageBreak/>
        <w:t xml:space="preserve">En España, la red de EDIH se ha consolidado como referente europeo, con más de una decena de </w:t>
      </w:r>
      <w:proofErr w:type="spellStart"/>
      <w:r w:rsidRPr="002C22BF">
        <w:rPr>
          <w:rFonts w:ascii="Abel" w:hAnsi="Abel" w:cstheme="minorHAnsi"/>
        </w:rPr>
        <w:t>hubs</w:t>
      </w:r>
      <w:proofErr w:type="spellEnd"/>
      <w:r w:rsidRPr="002C22BF">
        <w:rPr>
          <w:rFonts w:ascii="Abel" w:hAnsi="Abel" w:cstheme="minorHAnsi"/>
        </w:rPr>
        <w:t xml:space="preserve"> financiados y 17 entidades acreditadas con el Step </w:t>
      </w:r>
      <w:proofErr w:type="spellStart"/>
      <w:r w:rsidRPr="002C22BF">
        <w:rPr>
          <w:rFonts w:ascii="Abel" w:hAnsi="Abel" w:cstheme="minorHAnsi"/>
        </w:rPr>
        <w:t>Seal</w:t>
      </w:r>
      <w:proofErr w:type="spellEnd"/>
      <w:r w:rsidRPr="002C22BF">
        <w:rPr>
          <w:rFonts w:ascii="Abel" w:hAnsi="Abel" w:cstheme="minorHAnsi"/>
        </w:rPr>
        <w:t>, lo que garantiza su papel estratégico en la transformación digital del país.</w:t>
      </w:r>
    </w:p>
    <w:p w14:paraId="0B515D2A" w14:textId="77777777" w:rsidR="002C22BF" w:rsidRPr="002C22BF" w:rsidRDefault="002C22BF" w:rsidP="002C22BF">
      <w:pPr>
        <w:pStyle w:val="NormalWeb"/>
        <w:jc w:val="both"/>
        <w:rPr>
          <w:rFonts w:ascii="Abel" w:hAnsi="Abel" w:cstheme="minorHAnsi"/>
          <w:b/>
          <w:bCs/>
        </w:rPr>
      </w:pPr>
      <w:r w:rsidRPr="002C22BF">
        <w:rPr>
          <w:rFonts w:ascii="Abel" w:hAnsi="Abel" w:cstheme="minorHAnsi"/>
          <w:b/>
          <w:bCs/>
        </w:rPr>
        <w:t>Próximos pasos</w:t>
      </w:r>
    </w:p>
    <w:p w14:paraId="17162704" w14:textId="34CD1CB0" w:rsidR="002C22BF" w:rsidRPr="0080058B" w:rsidRDefault="002C22BF" w:rsidP="002C22BF">
      <w:pPr>
        <w:pStyle w:val="NormalWeb"/>
        <w:jc w:val="both"/>
        <w:rPr>
          <w:rFonts w:ascii="Abel" w:hAnsi="Abel" w:cstheme="minorHAnsi"/>
        </w:rPr>
      </w:pPr>
      <w:r w:rsidRPr="002C22BF">
        <w:rPr>
          <w:rFonts w:ascii="Abel" w:hAnsi="Abel" w:cstheme="minorHAnsi"/>
        </w:rPr>
        <w:t xml:space="preserve">La red de EDIH seguirá trabajando en proyectos de alto impacto que faciliten la adopción de tecnologías emergentes en sectores estratégicos. Asimismo, la obtención de los Step </w:t>
      </w:r>
      <w:proofErr w:type="spellStart"/>
      <w:r w:rsidRPr="002C22BF">
        <w:rPr>
          <w:rFonts w:ascii="Abel" w:hAnsi="Abel" w:cstheme="minorHAnsi"/>
        </w:rPr>
        <w:t>Seal</w:t>
      </w:r>
      <w:proofErr w:type="spellEnd"/>
      <w:r w:rsidRPr="002C22BF">
        <w:rPr>
          <w:rFonts w:ascii="Abel" w:hAnsi="Abel" w:cstheme="minorHAnsi"/>
        </w:rPr>
        <w:t xml:space="preserve"> abre nuevas vías de colaboración internacional y de acceso a fondos europeos complementarios</w:t>
      </w:r>
      <w:r>
        <w:rPr>
          <w:rFonts w:ascii="Abel" w:hAnsi="Abel" w:cstheme="minorHAnsi"/>
        </w:rPr>
        <w:t>.</w:t>
      </w:r>
    </w:p>
    <w:sectPr w:rsidR="002C22BF" w:rsidRPr="0080058B" w:rsidSect="0080058B">
      <w:headerReference w:type="default" r:id="rId11"/>
      <w:footerReference w:type="default" r:id="rId12"/>
      <w:pgSz w:w="11906" w:h="16838"/>
      <w:pgMar w:top="1475" w:right="1700" w:bottom="1417" w:left="1701" w:header="1" w:footer="1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41E9" w14:textId="77777777" w:rsidR="00942983" w:rsidRDefault="00942983" w:rsidP="009E03BD">
      <w:r>
        <w:separator/>
      </w:r>
    </w:p>
  </w:endnote>
  <w:endnote w:type="continuationSeparator" w:id="0">
    <w:p w14:paraId="52A72A71" w14:textId="77777777" w:rsidR="00942983" w:rsidRDefault="00942983" w:rsidP="009E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Rajdhani">
    <w:altName w:val="Mangal"/>
    <w:charset w:val="00"/>
    <w:family w:val="auto"/>
    <w:pitch w:val="variable"/>
    <w:sig w:usb0="00008007" w:usb1="00000000" w:usb2="00000000" w:usb3="00000000" w:csb0="00000093" w:csb1="00000000"/>
  </w:font>
  <w:font w:name="Rajdhani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FFA6" w14:textId="20436252" w:rsidR="0080058B" w:rsidRDefault="0080058B" w:rsidP="0080058B">
    <w:pPr>
      <w:pStyle w:val="Piedepgina"/>
    </w:pPr>
    <w:r>
      <w:rPr>
        <w:noProof/>
        <w:color w:val="404040"/>
        <w:sz w:val="24"/>
        <w:szCs w:val="24"/>
      </w:rPr>
      <w:drawing>
        <wp:anchor distT="0" distB="0" distL="114300" distR="114300" simplePos="0" relativeHeight="251666432" behindDoc="1" locked="0" layoutInCell="1" allowOverlap="1" wp14:anchorId="14045E05" wp14:editId="448912E5">
          <wp:simplePos x="0" y="0"/>
          <wp:positionH relativeFrom="column">
            <wp:posOffset>-1086485</wp:posOffset>
          </wp:positionH>
          <wp:positionV relativeFrom="paragraph">
            <wp:posOffset>32385</wp:posOffset>
          </wp:positionV>
          <wp:extent cx="7579704" cy="1282595"/>
          <wp:effectExtent l="0" t="0" r="2540" b="0"/>
          <wp:wrapNone/>
          <wp:docPr id="12489849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04" cy="128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E8">
      <w:tab/>
    </w:r>
    <w:r>
      <w:tab/>
      <w:t xml:space="preserve">  </w:t>
    </w:r>
  </w:p>
  <w:p w14:paraId="4A9816DC" w14:textId="7367D494" w:rsidR="009E03BD" w:rsidRDefault="009E0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FFED" w14:textId="77777777" w:rsidR="00942983" w:rsidRDefault="00942983" w:rsidP="009E03BD">
      <w:r>
        <w:separator/>
      </w:r>
    </w:p>
  </w:footnote>
  <w:footnote w:type="continuationSeparator" w:id="0">
    <w:p w14:paraId="2F0FC7D3" w14:textId="77777777" w:rsidR="00942983" w:rsidRDefault="00942983" w:rsidP="009E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42EE" w14:textId="77777777" w:rsidR="0080058B" w:rsidRDefault="0080058B" w:rsidP="0080058B">
    <w:pPr>
      <w:pStyle w:val="Encabezado"/>
      <w:rPr>
        <w:b/>
        <w:bCs/>
      </w:rPr>
    </w:pPr>
  </w:p>
  <w:p w14:paraId="3936133D" w14:textId="71ACAA04" w:rsidR="0080058B" w:rsidRPr="0080058B" w:rsidRDefault="0080058B" w:rsidP="0080058B">
    <w:pPr>
      <w:pStyle w:val="Encabezado"/>
      <w:rPr>
        <w:b/>
        <w:bCs/>
        <w:sz w:val="20"/>
        <w:szCs w:val="20"/>
      </w:rPr>
    </w:pPr>
    <w:r w:rsidRPr="0080058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C3BDA14" wp14:editId="60E81E13">
          <wp:simplePos x="0" y="0"/>
          <wp:positionH relativeFrom="column">
            <wp:posOffset>1275715</wp:posOffset>
          </wp:positionH>
          <wp:positionV relativeFrom="paragraph">
            <wp:posOffset>153035</wp:posOffset>
          </wp:positionV>
          <wp:extent cx="1866900" cy="368300"/>
          <wp:effectExtent l="0" t="0" r="0" b="0"/>
          <wp:wrapNone/>
          <wp:docPr id="16817262" name="Imagen 2" descr="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43" t="10359" r="32385" b="43426"/>
                  <a:stretch/>
                </pic:blipFill>
                <pic:spPr bwMode="auto">
                  <a:xfrm>
                    <a:off x="0" y="0"/>
                    <a:ext cx="18669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0058B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427726BF" wp14:editId="69B5075B">
          <wp:simplePos x="0" y="0"/>
          <wp:positionH relativeFrom="column">
            <wp:posOffset>3075305</wp:posOffset>
          </wp:positionH>
          <wp:positionV relativeFrom="paragraph">
            <wp:posOffset>154305</wp:posOffset>
          </wp:positionV>
          <wp:extent cx="1706245" cy="356870"/>
          <wp:effectExtent l="0" t="0" r="8255" b="5080"/>
          <wp:wrapSquare wrapText="bothSides"/>
          <wp:docPr id="483660404" name="Imagen 6" descr="co-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-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58B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6B5EF3B" wp14:editId="649CAD66">
          <wp:simplePos x="0" y="0"/>
          <wp:positionH relativeFrom="column">
            <wp:posOffset>4780915</wp:posOffset>
          </wp:positionH>
          <wp:positionV relativeFrom="paragraph">
            <wp:posOffset>155575</wp:posOffset>
          </wp:positionV>
          <wp:extent cx="1263015" cy="349250"/>
          <wp:effectExtent l="0" t="0" r="0" b="0"/>
          <wp:wrapSquare wrapText="bothSides"/>
          <wp:docPr id="502311377" name="Imagen 5" descr="El MINCOTUR publica una “Call for interest” para identificar proyectos  industriales de hidrógeno verde en el marco de la iniciativa europea IPCEI  - Asociación Española del Hidróg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l MINCOTUR publica una “Call for interest” para identificar proyectos  industriales de hidrógeno verde en el marco de la iniciativa europea IPCEI  - Asociación Española del Hidróge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58B">
      <w:rPr>
        <w:b/>
        <w:bCs/>
        <w:sz w:val="20"/>
        <w:szCs w:val="20"/>
      </w:rPr>
      <w:t>NOTA DE PRENSA</w:t>
    </w:r>
    <w:r w:rsidRPr="0080058B">
      <w:rPr>
        <w:b/>
        <w:bCs/>
        <w:sz w:val="20"/>
        <w:szCs w:val="20"/>
      </w:rPr>
      <w:tab/>
    </w:r>
    <w:r w:rsidRPr="0080058B">
      <w:rPr>
        <w:b/>
        <w:bCs/>
        <w:sz w:val="20"/>
        <w:szCs w:val="20"/>
      </w:rPr>
      <w:tab/>
    </w:r>
  </w:p>
  <w:p w14:paraId="40C59177" w14:textId="5E2CC951" w:rsidR="0080058B" w:rsidRPr="0080058B" w:rsidRDefault="0080058B" w:rsidP="0080058B">
    <w:pPr>
      <w:pStyle w:val="Encabezado"/>
      <w:rPr>
        <w:sz w:val="18"/>
        <w:szCs w:val="18"/>
      </w:rPr>
    </w:pPr>
    <w:r w:rsidRPr="0080058B">
      <w:rPr>
        <w:sz w:val="18"/>
        <w:szCs w:val="18"/>
      </w:rPr>
      <w:t xml:space="preserve">Para más info: </w:t>
    </w:r>
  </w:p>
  <w:p w14:paraId="766A5FBD" w14:textId="58F473AC" w:rsidR="0080058B" w:rsidRPr="0080058B" w:rsidRDefault="0080058B" w:rsidP="0080058B">
    <w:pPr>
      <w:pStyle w:val="Encabezado"/>
      <w:rPr>
        <w:sz w:val="18"/>
        <w:szCs w:val="18"/>
      </w:rPr>
    </w:pPr>
    <w:r w:rsidRPr="0080058B">
      <w:rPr>
        <w:sz w:val="18"/>
        <w:szCs w:val="18"/>
      </w:rPr>
      <w:t>info@cidihub.org</w:t>
    </w:r>
  </w:p>
  <w:p w14:paraId="5888EB7E" w14:textId="0D0BC1F1" w:rsidR="009E03BD" w:rsidRPr="0080058B" w:rsidRDefault="0080058B" w:rsidP="0080058B">
    <w:pPr>
      <w:pStyle w:val="Encabezado"/>
      <w:rPr>
        <w:sz w:val="18"/>
        <w:szCs w:val="18"/>
      </w:rPr>
    </w:pPr>
    <w:r w:rsidRPr="0080058B">
      <w:rPr>
        <w:sz w:val="18"/>
        <w:szCs w:val="18"/>
      </w:rPr>
      <w:t xml:space="preserve">+34 690 700 898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4A0"/>
    <w:multiLevelType w:val="multilevel"/>
    <w:tmpl w:val="F33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C01E3"/>
    <w:multiLevelType w:val="hybridMultilevel"/>
    <w:tmpl w:val="0206E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15E5"/>
    <w:multiLevelType w:val="multilevel"/>
    <w:tmpl w:val="67D4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78903">
    <w:abstractNumId w:val="2"/>
  </w:num>
  <w:num w:numId="2" w16cid:durableId="1931700303">
    <w:abstractNumId w:val="0"/>
  </w:num>
  <w:num w:numId="3" w16cid:durableId="17881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BD"/>
    <w:rsid w:val="0003736C"/>
    <w:rsid w:val="00073557"/>
    <w:rsid w:val="0009377C"/>
    <w:rsid w:val="000A5A00"/>
    <w:rsid w:val="000B0A4A"/>
    <w:rsid w:val="000C4DFD"/>
    <w:rsid w:val="001023BF"/>
    <w:rsid w:val="00196C1E"/>
    <w:rsid w:val="00273065"/>
    <w:rsid w:val="002945A5"/>
    <w:rsid w:val="002B2536"/>
    <w:rsid w:val="002C22BF"/>
    <w:rsid w:val="00374C20"/>
    <w:rsid w:val="003D3370"/>
    <w:rsid w:val="0040159E"/>
    <w:rsid w:val="0041369D"/>
    <w:rsid w:val="00435903"/>
    <w:rsid w:val="004423AB"/>
    <w:rsid w:val="004921DB"/>
    <w:rsid w:val="00492745"/>
    <w:rsid w:val="00503FBA"/>
    <w:rsid w:val="005C6004"/>
    <w:rsid w:val="00626F66"/>
    <w:rsid w:val="00643EFB"/>
    <w:rsid w:val="006A6E2E"/>
    <w:rsid w:val="00726A5F"/>
    <w:rsid w:val="00743939"/>
    <w:rsid w:val="00784865"/>
    <w:rsid w:val="00787DF1"/>
    <w:rsid w:val="0080058B"/>
    <w:rsid w:val="00801B15"/>
    <w:rsid w:val="00804253"/>
    <w:rsid w:val="00885131"/>
    <w:rsid w:val="008C2C18"/>
    <w:rsid w:val="00942983"/>
    <w:rsid w:val="009506AA"/>
    <w:rsid w:val="0096045C"/>
    <w:rsid w:val="009848D6"/>
    <w:rsid w:val="00984AC0"/>
    <w:rsid w:val="009A5F83"/>
    <w:rsid w:val="009E03BD"/>
    <w:rsid w:val="00A3386C"/>
    <w:rsid w:val="00A346C5"/>
    <w:rsid w:val="00A520D1"/>
    <w:rsid w:val="00A60297"/>
    <w:rsid w:val="00A6267C"/>
    <w:rsid w:val="00A96587"/>
    <w:rsid w:val="00AD3E42"/>
    <w:rsid w:val="00B0442A"/>
    <w:rsid w:val="00B130D8"/>
    <w:rsid w:val="00B25B6D"/>
    <w:rsid w:val="00B87FE8"/>
    <w:rsid w:val="00BB4A01"/>
    <w:rsid w:val="00C2415D"/>
    <w:rsid w:val="00C32463"/>
    <w:rsid w:val="00C779E3"/>
    <w:rsid w:val="00CA315D"/>
    <w:rsid w:val="00CE0A1C"/>
    <w:rsid w:val="00D20E16"/>
    <w:rsid w:val="00D21A72"/>
    <w:rsid w:val="00D2297B"/>
    <w:rsid w:val="00D520E1"/>
    <w:rsid w:val="00D64628"/>
    <w:rsid w:val="00D66110"/>
    <w:rsid w:val="00E47078"/>
    <w:rsid w:val="00EA3582"/>
    <w:rsid w:val="00ED7944"/>
    <w:rsid w:val="00F21D24"/>
    <w:rsid w:val="00F52595"/>
    <w:rsid w:val="00F63A14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17DB"/>
  <w15:chartTrackingRefBased/>
  <w15:docId w15:val="{188955ED-0107-4949-8679-E17DD55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10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6110"/>
    <w:pPr>
      <w:spacing w:before="1" w:after="240"/>
      <w:jc w:val="center"/>
      <w:outlineLvl w:val="0"/>
    </w:pPr>
    <w:rPr>
      <w:rFonts w:ascii="Abel" w:hAnsi="Abel" w:cs="Rajdhani"/>
      <w:b/>
      <w:bCs/>
      <w:color w:val="808080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6110"/>
    <w:pPr>
      <w:tabs>
        <w:tab w:val="left" w:pos="6142"/>
      </w:tabs>
      <w:spacing w:before="96"/>
      <w:ind w:left="1418" w:right="1243"/>
      <w:jc w:val="center"/>
      <w:outlineLvl w:val="1"/>
    </w:pPr>
    <w:rPr>
      <w:rFonts w:ascii="Abel" w:hAnsi="Abel" w:cs="Rajdhani"/>
      <w:b/>
      <w:color w:val="4500C0"/>
      <w:w w:val="95"/>
      <w:sz w:val="36"/>
      <w:szCs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6110"/>
    <w:pPr>
      <w:spacing w:before="96" w:after="240"/>
      <w:ind w:right="-1"/>
      <w:jc w:val="both"/>
      <w:outlineLvl w:val="2"/>
    </w:pPr>
    <w:rPr>
      <w:rFonts w:ascii="Abel" w:hAnsi="Abel" w:cs="Rajdhani Medium"/>
      <w:bCs/>
      <w:color w:val="7700F2"/>
      <w:w w:val="95"/>
      <w:sz w:val="24"/>
      <w:szCs w:val="12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D66110"/>
    <w:pPr>
      <w:outlineLvl w:val="3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3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3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3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3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110"/>
    <w:rPr>
      <w:rFonts w:ascii="Abel" w:eastAsia="Tahoma" w:hAnsi="Abel" w:cs="Rajdhani"/>
      <w:b/>
      <w:bCs/>
      <w:color w:val="808080"/>
      <w:kern w:val="0"/>
      <w:sz w:val="28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66110"/>
    <w:rPr>
      <w:rFonts w:ascii="Abel" w:eastAsia="Tahoma" w:hAnsi="Abel" w:cs="Rajdhani"/>
      <w:b/>
      <w:color w:val="4500C0"/>
      <w:w w:val="95"/>
      <w:kern w:val="0"/>
      <w:sz w:val="36"/>
      <w:szCs w:val="18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66110"/>
    <w:rPr>
      <w:rFonts w:ascii="Abel" w:eastAsia="Tahoma" w:hAnsi="Abel" w:cs="Rajdhani Medium"/>
      <w:bCs/>
      <w:color w:val="7700F2"/>
      <w:w w:val="95"/>
      <w:kern w:val="0"/>
      <w:sz w:val="24"/>
      <w:szCs w:val="12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D66110"/>
    <w:rPr>
      <w:rFonts w:ascii="Abel" w:eastAsia="Tahoma" w:hAnsi="Abel" w:cs="Rajdhani Medium"/>
      <w:bCs/>
      <w:color w:val="7700F2"/>
      <w:w w:val="95"/>
      <w:kern w:val="0"/>
      <w:sz w:val="24"/>
      <w:szCs w:val="12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66110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66110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61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Textoennegrita">
    <w:name w:val="Strong"/>
    <w:basedOn w:val="Fuentedeprrafopredeter"/>
    <w:uiPriority w:val="22"/>
    <w:qFormat/>
    <w:rsid w:val="00D66110"/>
    <w:rPr>
      <w:b/>
      <w:bCs/>
    </w:rPr>
  </w:style>
  <w:style w:type="paragraph" w:styleId="Prrafodelista">
    <w:name w:val="List Paragraph"/>
    <w:basedOn w:val="Normal"/>
    <w:uiPriority w:val="34"/>
    <w:qFormat/>
    <w:rsid w:val="00D66110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D66110"/>
    <w:pPr>
      <w:widowControl/>
      <w:autoSpaceDE/>
      <w:autoSpaceDN/>
      <w:spacing w:line="259" w:lineRule="auto"/>
      <w:outlineLvl w:val="9"/>
    </w:pPr>
    <w:rPr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3BD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3B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3B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3B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3B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3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3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E0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3BD"/>
    <w:rPr>
      <w:rFonts w:ascii="Tahoma" w:hAnsi="Tahoma" w:cs="Tahoma"/>
      <w:i/>
      <w:iCs/>
      <w:color w:val="404040" w:themeColor="text1" w:themeTint="BF"/>
      <w:kern w:val="0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9E0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3BD"/>
    <w:rPr>
      <w:rFonts w:ascii="Tahoma" w:hAnsi="Tahoma" w:cs="Tahoma"/>
      <w:i/>
      <w:iCs/>
      <w:color w:val="2F5496" w:themeColor="accent1" w:themeShade="BF"/>
      <w:kern w:val="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E0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03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03BD"/>
    <w:rPr>
      <w:rFonts w:ascii="Tahoma" w:hAnsi="Tahoma" w:cs="Tahom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03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3BD"/>
    <w:rPr>
      <w:rFonts w:ascii="Tahoma" w:hAnsi="Tahoma" w:cs="Tahoma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87F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7FE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377C"/>
    <w:pPr>
      <w:spacing w:after="0" w:line="240" w:lineRule="auto"/>
    </w:pPr>
    <w:rPr>
      <w:rFonts w:ascii="Tahoma" w:hAnsi="Tahoma" w:cs="Tahoma"/>
      <w:kern w:val="0"/>
      <w14:ligatures w14:val="none"/>
    </w:rPr>
  </w:style>
  <w:style w:type="paragraph" w:customStyle="1" w:styleId="Default">
    <w:name w:val="Default"/>
    <w:rsid w:val="002945A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jpg@01DB97F8.493D9DA0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dadtech xmlns="84e472af-8302-45d0-9b0e-a50a042800fe" xsi:nil="true"/>
    <Fecha xmlns="84e472af-8302-45d0-9b0e-a50a042800fe" xsi:nil="true"/>
    <Estatdelprojecte xmlns="84e472af-8302-45d0-9b0e-a50a042800fe" xsi:nil="true"/>
    <T_x00ed_tuloponencia xmlns="84e472af-8302-45d0-9b0e-a50a042800fe" xsi:nil="true"/>
    <TaxCatchAll xmlns="7ceea531-a754-4fa6-9f43-65ab74d77498" xsi:nil="true"/>
    <lcf76f155ced4ddcb4097134ff3c332f xmlns="84e472af-8302-45d0-9b0e-a50a042800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E12B601C5B841BD222B3E1DB7A0EB" ma:contentTypeVersion="22" ma:contentTypeDescription="Create a new document." ma:contentTypeScope="" ma:versionID="17526030ebcc1b76a368560024646197">
  <xsd:schema xmlns:xsd="http://www.w3.org/2001/XMLSchema" xmlns:xs="http://www.w3.org/2001/XMLSchema" xmlns:p="http://schemas.microsoft.com/office/2006/metadata/properties" xmlns:ns2="84e472af-8302-45d0-9b0e-a50a042800fe" xmlns:ns3="7ceea531-a754-4fa6-9f43-65ab74d77498" targetNamespace="http://schemas.microsoft.com/office/2006/metadata/properties" ma:root="true" ma:fieldsID="b547c04f6006a295eba8ba710aa9faa8" ns2:_="" ns3:_="">
    <xsd:import namespace="84e472af-8302-45d0-9b0e-a50a042800fe"/>
    <xsd:import namespace="7ceea531-a754-4fa6-9f43-65ab74d77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T_x00ed_tuloponencia" minOccurs="0"/>
                <xsd:element ref="ns2:MediaServiceObjectDetectorVersions" minOccurs="0"/>
                <xsd:element ref="ns2:Entidadtech" minOccurs="0"/>
                <xsd:element ref="ns2:MediaServiceSearchProperties" minOccurs="0"/>
                <xsd:element ref="ns2:Estatdelprojecte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72af-8302-45d0-9b0e-a50a04280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4519a8-2794-44c2-8b68-1579d5365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T_x00ed_tuloponencia" ma:index="24" nillable="true" ma:displayName="Título ponencia" ma:format="Dropdown" ma:internalName="T_x00ed_tuloponenci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tidadtech" ma:index="26" nillable="true" ma:displayName="Entidad tech" ma:format="Dropdown" ma:internalName="Entidadte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OC"/>
                    <xsd:enumeration value="UPC"/>
                    <xsd:enumeration value="CITM"/>
                    <xsd:enumeration value="Subcontractació"/>
                    <xsd:enumeration value="Cambra de Barcelona"/>
                    <xsd:enumeration value="Cambra de Terrassa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statdelprojecte" ma:index="28" nillable="true" ma:displayName="Estat del projecte" ma:format="Dropdown" ma:internalName="Estatdelprojecte">
      <xsd:simpleType>
        <xsd:restriction base="dms:Choice">
          <xsd:enumeration value="En valoració Universitats"/>
          <xsd:enumeration value="A la recerca de proveïdor"/>
          <xsd:enumeration value="Redactant proposta de servei"/>
          <xsd:enumeration value="En procés de signatures de proposta"/>
          <xsd:enumeration value="Sol·licitud presentada"/>
          <xsd:enumeration value="En fase d'esmena"/>
          <xsd:enumeration value="Esmenat"/>
          <xsd:enumeration value="Ajuda concedida"/>
          <xsd:enumeration value="Projecte en marxa"/>
          <xsd:enumeration value="Projecte en fase de justificació"/>
          <xsd:enumeration value="Projecte en fase d'auditoria"/>
          <xsd:enumeration value="Projecte auditat"/>
          <xsd:enumeration value="Projecte facturat"/>
          <xsd:enumeration value="Projecte en fase d'acreditació"/>
          <xsd:enumeration value="Projecte acreditat"/>
          <xsd:enumeration value="Esmena d'acreditació"/>
          <xsd:enumeration value="Renúncia / Desistiment"/>
        </xsd:restriction>
      </xsd:simpleType>
    </xsd:element>
    <xsd:element name="Fecha" ma:index="29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ea531-a754-4fa6-9f43-65ab74d77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3f061d-5990-41cf-819a-e277fe264eb8}" ma:internalName="TaxCatchAll" ma:showField="CatchAllData" ma:web="7ceea531-a754-4fa6-9f43-65ab74d77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E5F20-2185-4488-8E3C-5458552CB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20949-F1E7-4BB0-8329-F731E3B240B2}">
  <ds:schemaRefs>
    <ds:schemaRef ds:uri="http://schemas.microsoft.com/office/2006/metadata/properties"/>
    <ds:schemaRef ds:uri="http://schemas.microsoft.com/office/infopath/2007/PartnerControls"/>
    <ds:schemaRef ds:uri="84e472af-8302-45d0-9b0e-a50a042800fe"/>
    <ds:schemaRef ds:uri="7ceea531-a754-4fa6-9f43-65ab74d77498"/>
  </ds:schemaRefs>
</ds:datastoreItem>
</file>

<file path=customXml/itemProps3.xml><?xml version="1.0" encoding="utf-8"?>
<ds:datastoreItem xmlns:ds="http://schemas.openxmlformats.org/officeDocument/2006/customXml" ds:itemID="{2CEE8FCC-452E-4830-8841-ECEB63508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0622A-6744-4F8C-9E98-532736E5A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472af-8302-45d0-9b0e-a50a042800fe"/>
    <ds:schemaRef ds:uri="7ceea531-a754-4fa6-9f43-65ab74d77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526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Suárez</dc:creator>
  <cp:keywords/>
  <dc:description/>
  <cp:lastModifiedBy>Gerencia</cp:lastModifiedBy>
  <cp:revision>2</cp:revision>
  <dcterms:created xsi:type="dcterms:W3CDTF">2025-09-16T11:42:00Z</dcterms:created>
  <dcterms:modified xsi:type="dcterms:W3CDTF">2025-09-16T11:42:00Z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0x010100A39E12B601C5B841BD222B3E1DB7A0EB</vt:lpwstr>
  </property>
  <property fmtid="{D5CDD505-2E9C-101B-9397-08002B2CF9AE}" pid="3" name="MediaServiceImageTags">
    <vt:lpwstr/>
  </property>
</Properties>
</file>